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宋体" w:hAnsi="宋体"/>
          <w:color w:val="auto"/>
          <w:sz w:val="24"/>
          <w:szCs w:val="24"/>
          <w:highlight w:val="none"/>
        </w:rPr>
      </w:pPr>
      <w:r>
        <w:rPr>
          <w:rFonts w:hint="eastAsia" w:ascii="宋体" w:hAnsi="宋体"/>
          <w:color w:val="auto"/>
          <w:sz w:val="24"/>
          <w:szCs w:val="24"/>
          <w:highlight w:val="none"/>
          <w:lang w:eastAsia="zh-CN"/>
        </w:rPr>
        <w:t>聊城一中实验楼维护修缮项目</w:t>
      </w:r>
      <w:r>
        <w:rPr>
          <w:rFonts w:hint="eastAsia" w:ascii="宋体" w:hAnsi="宋体"/>
          <w:color w:val="auto"/>
          <w:sz w:val="24"/>
          <w:szCs w:val="24"/>
          <w:highlight w:val="none"/>
        </w:rPr>
        <w:t>竞争性磋商公告</w:t>
      </w:r>
    </w:p>
    <w:tbl>
      <w:tblPr>
        <w:tblStyle w:val="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l2br w:val="nil"/>
              <w:tr2bl w:val="nil"/>
            </w:tcBorders>
          </w:tcPr>
          <w:p>
            <w:pPr>
              <w:spacing w:line="360" w:lineRule="auto"/>
              <w:rPr>
                <w:rFonts w:ascii="宋体" w:hAnsi="宋体"/>
                <w:b/>
                <w:bCs/>
                <w:color w:val="auto"/>
                <w:sz w:val="24"/>
                <w:szCs w:val="24"/>
                <w:highlight w:val="none"/>
              </w:rPr>
            </w:pPr>
            <w:bookmarkStart w:id="0" w:name="OLE_LINK17"/>
            <w:bookmarkEnd w:id="0"/>
            <w:r>
              <w:rPr>
                <w:rFonts w:hint="eastAsia" w:ascii="宋体" w:hAnsi="宋体"/>
                <w:color w:val="auto"/>
                <w:sz w:val="24"/>
                <w:szCs w:val="24"/>
                <w:highlight w:val="none"/>
              </w:rPr>
              <w:t>项目概况</w:t>
            </w:r>
          </w:p>
          <w:p>
            <w:pPr>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聊城一中实验楼维护修缮项目</w:t>
            </w:r>
            <w:r>
              <w:rPr>
                <w:rFonts w:hint="eastAsia" w:ascii="宋体" w:hAnsi="宋体"/>
                <w:color w:val="auto"/>
                <w:sz w:val="24"/>
                <w:szCs w:val="24"/>
                <w:highlight w:val="none"/>
              </w:rPr>
              <w:t>采购项目的潜在供应商应在聊城市公共资源交易中心网（http://ggzyjy.liaocheng.gov.cn）获取采购文件，并于2023年</w:t>
            </w:r>
            <w:r>
              <w:rPr>
                <w:rFonts w:hint="eastAsia" w:ascii="宋体" w:hAnsi="宋体"/>
                <w:color w:val="auto"/>
                <w:sz w:val="24"/>
                <w:szCs w:val="24"/>
                <w:highlight w:val="none"/>
                <w:lang w:val="en-US" w:eastAsia="zh-CN"/>
              </w:rPr>
              <w:t>11</w:t>
            </w:r>
            <w:r>
              <w:rPr>
                <w:rFonts w:hint="eastAsia" w:ascii="宋体" w:hAnsi="宋体"/>
                <w:color w:val="auto"/>
                <w:sz w:val="24"/>
                <w:szCs w:val="24"/>
                <w:highlight w:val="none"/>
              </w:rPr>
              <w:t>月</w:t>
            </w:r>
            <w:r>
              <w:rPr>
                <w:rFonts w:hint="eastAsia" w:ascii="宋体" w:hAnsi="宋体"/>
                <w:color w:val="auto"/>
                <w:sz w:val="24"/>
                <w:szCs w:val="24"/>
                <w:highlight w:val="none"/>
                <w:lang w:val="en-US" w:eastAsia="zh-CN"/>
              </w:rPr>
              <w:t>07</w:t>
            </w:r>
            <w:r>
              <w:rPr>
                <w:rFonts w:hint="eastAsia" w:ascii="宋体" w:hAnsi="宋体"/>
                <w:color w:val="auto"/>
                <w:sz w:val="24"/>
                <w:szCs w:val="24"/>
                <w:highlight w:val="none"/>
              </w:rPr>
              <w:t>日</w:t>
            </w:r>
            <w:r>
              <w:rPr>
                <w:rFonts w:hint="eastAsia" w:ascii="宋体" w:hAnsi="宋体"/>
                <w:color w:val="auto"/>
                <w:sz w:val="24"/>
                <w:szCs w:val="24"/>
                <w:highlight w:val="none"/>
                <w:lang w:val="en-US" w:eastAsia="zh-CN"/>
              </w:rPr>
              <w:t>14</w:t>
            </w:r>
            <w:r>
              <w:rPr>
                <w:rFonts w:hint="eastAsia" w:ascii="宋体" w:hAnsi="宋体"/>
                <w:color w:val="auto"/>
                <w:sz w:val="24"/>
                <w:szCs w:val="24"/>
                <w:highlight w:val="none"/>
              </w:rPr>
              <w:t>点00分（北京时间）前提交响应文件。</w:t>
            </w:r>
          </w:p>
        </w:tc>
      </w:tr>
    </w:tbl>
    <w:p>
      <w:pPr>
        <w:spacing w:line="360" w:lineRule="auto"/>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一、项目基本情况</w:t>
      </w:r>
    </w:p>
    <w:p>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项目编号：</w:t>
      </w:r>
      <w:r>
        <w:rPr>
          <w:rFonts w:hint="eastAsia" w:ascii="宋体" w:hAnsi="宋体"/>
          <w:color w:val="auto"/>
          <w:sz w:val="24"/>
          <w:szCs w:val="24"/>
          <w:highlight w:val="none"/>
          <w:lang w:eastAsia="zh-CN"/>
        </w:rPr>
        <w:t>SDGP371500000202302000632</w:t>
      </w:r>
    </w:p>
    <w:p>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聊城市公共资源交易中心系统内编号：</w:t>
      </w:r>
      <w:r>
        <w:rPr>
          <w:rFonts w:hint="eastAsia" w:ascii="宋体" w:hAnsi="宋体"/>
          <w:color w:val="auto"/>
          <w:sz w:val="24"/>
          <w:szCs w:val="24"/>
          <w:highlight w:val="none"/>
          <w:lang w:eastAsia="zh-CN"/>
        </w:rPr>
        <w:t>XLCZFCG-2023-277</w:t>
      </w:r>
    </w:p>
    <w:p>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项目名称：</w:t>
      </w:r>
      <w:r>
        <w:rPr>
          <w:rFonts w:hint="eastAsia" w:ascii="宋体" w:hAnsi="宋体"/>
          <w:color w:val="auto"/>
          <w:sz w:val="24"/>
          <w:szCs w:val="24"/>
          <w:highlight w:val="none"/>
          <w:lang w:eastAsia="zh-CN"/>
        </w:rPr>
        <w:t>聊城一中实验楼维护修缮项目</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采购方式：竞争性磋商</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预算金额：</w:t>
      </w:r>
      <w:r>
        <w:rPr>
          <w:rFonts w:hint="eastAsia" w:ascii="宋体" w:hAnsi="宋体"/>
          <w:color w:val="auto"/>
          <w:sz w:val="24"/>
          <w:szCs w:val="24"/>
          <w:highlight w:val="none"/>
          <w:lang w:eastAsia="zh-CN"/>
        </w:rPr>
        <w:t>60</w:t>
      </w:r>
      <w:r>
        <w:rPr>
          <w:rFonts w:hint="eastAsia" w:ascii="宋体" w:hAnsi="宋体"/>
          <w:color w:val="auto"/>
          <w:sz w:val="24"/>
          <w:szCs w:val="24"/>
          <w:highlight w:val="none"/>
        </w:rPr>
        <w:t>万元</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最高限价：</w:t>
      </w:r>
      <w:r>
        <w:rPr>
          <w:rFonts w:hint="eastAsia" w:ascii="宋体" w:hAnsi="宋体"/>
          <w:color w:val="auto"/>
          <w:sz w:val="24"/>
          <w:szCs w:val="24"/>
          <w:highlight w:val="none"/>
          <w:lang w:eastAsia="zh-CN"/>
        </w:rPr>
        <w:t>60</w:t>
      </w:r>
      <w:r>
        <w:rPr>
          <w:rFonts w:hint="eastAsia" w:ascii="宋体" w:hAnsi="宋体"/>
          <w:color w:val="auto"/>
          <w:sz w:val="24"/>
          <w:szCs w:val="24"/>
          <w:highlight w:val="none"/>
        </w:rPr>
        <w:t>万元</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采购需求：</w:t>
      </w:r>
    </w:p>
    <w:tbl>
      <w:tblPr>
        <w:tblStyle w:val="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34"/>
        <w:gridCol w:w="2954"/>
        <w:gridCol w:w="659"/>
        <w:gridCol w:w="2674"/>
        <w:gridCol w:w="14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8" w:hRule="atLeast"/>
          <w:jc w:val="center"/>
        </w:trPr>
        <w:tc>
          <w:tcPr>
            <w:tcW w:w="321" w:type="pct"/>
            <w:tcBorders>
              <w:tl2br w:val="nil"/>
              <w:tr2bl w:val="nil"/>
            </w:tcBorders>
            <w:vAlign w:val="center"/>
          </w:tcPr>
          <w:p>
            <w:pPr>
              <w:spacing w:line="440" w:lineRule="exact"/>
              <w:jc w:val="center"/>
              <w:rPr>
                <w:rFonts w:ascii="宋体" w:hAnsi="宋体"/>
                <w:color w:val="auto"/>
                <w:sz w:val="24"/>
                <w:szCs w:val="24"/>
                <w:highlight w:val="none"/>
              </w:rPr>
            </w:pPr>
            <w:r>
              <w:rPr>
                <w:rFonts w:hint="eastAsia" w:ascii="宋体" w:hAnsi="宋体"/>
                <w:color w:val="auto"/>
                <w:sz w:val="24"/>
                <w:szCs w:val="24"/>
                <w:highlight w:val="none"/>
              </w:rPr>
              <w:t>标的</w:t>
            </w:r>
          </w:p>
        </w:tc>
        <w:tc>
          <w:tcPr>
            <w:tcW w:w="1776" w:type="pct"/>
            <w:tcBorders>
              <w:tl2br w:val="nil"/>
              <w:tr2bl w:val="nil"/>
            </w:tcBorders>
            <w:vAlign w:val="center"/>
          </w:tcPr>
          <w:p>
            <w:pPr>
              <w:spacing w:line="440" w:lineRule="exact"/>
              <w:jc w:val="center"/>
              <w:rPr>
                <w:rFonts w:ascii="宋体" w:hAnsi="宋体"/>
                <w:color w:val="auto"/>
                <w:sz w:val="24"/>
                <w:szCs w:val="24"/>
                <w:highlight w:val="none"/>
              </w:rPr>
            </w:pPr>
            <w:r>
              <w:rPr>
                <w:rFonts w:hint="eastAsia" w:ascii="宋体" w:hAnsi="宋体"/>
                <w:color w:val="auto"/>
                <w:sz w:val="24"/>
                <w:szCs w:val="24"/>
                <w:highlight w:val="none"/>
              </w:rPr>
              <w:t>标的名称</w:t>
            </w:r>
          </w:p>
        </w:tc>
        <w:tc>
          <w:tcPr>
            <w:tcW w:w="396" w:type="pct"/>
            <w:tcBorders>
              <w:tl2br w:val="nil"/>
              <w:tr2bl w:val="nil"/>
            </w:tcBorders>
            <w:vAlign w:val="center"/>
          </w:tcPr>
          <w:p>
            <w:pPr>
              <w:spacing w:line="440" w:lineRule="exact"/>
              <w:jc w:val="center"/>
              <w:rPr>
                <w:rFonts w:ascii="宋体" w:hAnsi="宋体"/>
                <w:color w:val="auto"/>
                <w:sz w:val="24"/>
                <w:szCs w:val="24"/>
                <w:highlight w:val="none"/>
              </w:rPr>
            </w:pPr>
            <w:r>
              <w:rPr>
                <w:rFonts w:hint="eastAsia" w:ascii="宋体" w:hAnsi="宋体"/>
                <w:color w:val="auto"/>
                <w:sz w:val="24"/>
                <w:szCs w:val="24"/>
                <w:highlight w:val="none"/>
              </w:rPr>
              <w:t>数量</w:t>
            </w:r>
          </w:p>
        </w:tc>
        <w:tc>
          <w:tcPr>
            <w:tcW w:w="1608" w:type="pct"/>
            <w:tcBorders>
              <w:tl2br w:val="nil"/>
              <w:tr2bl w:val="nil"/>
            </w:tcBorders>
            <w:vAlign w:val="center"/>
          </w:tcPr>
          <w:p>
            <w:pPr>
              <w:spacing w:line="440" w:lineRule="exact"/>
              <w:jc w:val="center"/>
              <w:rPr>
                <w:rFonts w:ascii="宋体" w:hAnsi="宋体"/>
                <w:color w:val="auto"/>
                <w:sz w:val="24"/>
                <w:szCs w:val="24"/>
                <w:highlight w:val="none"/>
              </w:rPr>
            </w:pPr>
            <w:r>
              <w:rPr>
                <w:rFonts w:hint="eastAsia" w:ascii="宋体" w:hAnsi="宋体"/>
                <w:color w:val="auto"/>
                <w:sz w:val="24"/>
                <w:szCs w:val="24"/>
                <w:highlight w:val="none"/>
              </w:rPr>
              <w:t>简要技术需求或服务要求</w:t>
            </w:r>
          </w:p>
        </w:tc>
        <w:tc>
          <w:tcPr>
            <w:tcW w:w="897" w:type="pct"/>
            <w:tcBorders>
              <w:tl2br w:val="nil"/>
              <w:tr2bl w:val="nil"/>
            </w:tcBorders>
            <w:vAlign w:val="center"/>
          </w:tcPr>
          <w:p>
            <w:pPr>
              <w:spacing w:line="440" w:lineRule="exact"/>
              <w:jc w:val="center"/>
              <w:rPr>
                <w:rFonts w:ascii="宋体" w:hAnsi="宋体"/>
                <w:color w:val="auto"/>
                <w:sz w:val="24"/>
                <w:szCs w:val="24"/>
                <w:highlight w:val="none"/>
              </w:rPr>
            </w:pPr>
            <w:r>
              <w:rPr>
                <w:rFonts w:hint="eastAsia" w:ascii="宋体" w:hAnsi="宋体"/>
                <w:color w:val="auto"/>
                <w:sz w:val="24"/>
                <w:szCs w:val="24"/>
                <w:highlight w:val="none"/>
              </w:rPr>
              <w:t>本包预算金额（单位：万元）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9" w:hRule="atLeast"/>
          <w:jc w:val="center"/>
        </w:trPr>
        <w:tc>
          <w:tcPr>
            <w:tcW w:w="321" w:type="pct"/>
            <w:tcBorders>
              <w:tl2br w:val="nil"/>
              <w:tr2bl w:val="nil"/>
            </w:tcBorders>
            <w:vAlign w:val="center"/>
          </w:tcPr>
          <w:p>
            <w:pPr>
              <w:spacing w:line="440" w:lineRule="exact"/>
              <w:jc w:val="center"/>
              <w:rPr>
                <w:rFonts w:ascii="宋体" w:hAnsi="宋体"/>
                <w:color w:val="auto"/>
                <w:sz w:val="24"/>
                <w:szCs w:val="24"/>
                <w:highlight w:val="none"/>
              </w:rPr>
            </w:pPr>
            <w:r>
              <w:rPr>
                <w:rFonts w:hint="eastAsia" w:ascii="宋体" w:hAnsi="宋体"/>
                <w:color w:val="auto"/>
                <w:sz w:val="24"/>
                <w:szCs w:val="24"/>
                <w:highlight w:val="none"/>
              </w:rPr>
              <w:t>A</w:t>
            </w:r>
          </w:p>
        </w:tc>
        <w:tc>
          <w:tcPr>
            <w:tcW w:w="1776" w:type="pct"/>
            <w:tcBorders>
              <w:tl2br w:val="nil"/>
              <w:tr2bl w:val="nil"/>
            </w:tcBorders>
            <w:vAlign w:val="center"/>
          </w:tcPr>
          <w:p>
            <w:pPr>
              <w:spacing w:line="440" w:lineRule="exact"/>
              <w:jc w:val="center"/>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聊城一中实验楼维护修缮项目</w:t>
            </w:r>
          </w:p>
        </w:tc>
        <w:tc>
          <w:tcPr>
            <w:tcW w:w="396" w:type="pct"/>
            <w:tcBorders>
              <w:tl2br w:val="nil"/>
              <w:tr2bl w:val="nil"/>
            </w:tcBorders>
            <w:vAlign w:val="center"/>
          </w:tcPr>
          <w:p>
            <w:pPr>
              <w:spacing w:line="440" w:lineRule="exact"/>
              <w:jc w:val="center"/>
              <w:rPr>
                <w:rFonts w:ascii="宋体" w:hAnsi="宋体"/>
                <w:color w:val="auto"/>
                <w:sz w:val="24"/>
                <w:szCs w:val="24"/>
                <w:highlight w:val="none"/>
              </w:rPr>
            </w:pPr>
            <w:r>
              <w:rPr>
                <w:rFonts w:hint="eastAsia" w:ascii="宋体" w:hAnsi="宋体"/>
                <w:color w:val="auto"/>
                <w:sz w:val="24"/>
                <w:szCs w:val="24"/>
                <w:highlight w:val="none"/>
              </w:rPr>
              <w:t>1</w:t>
            </w:r>
          </w:p>
        </w:tc>
        <w:tc>
          <w:tcPr>
            <w:tcW w:w="1608" w:type="pct"/>
            <w:tcBorders>
              <w:tl2br w:val="nil"/>
              <w:tr2bl w:val="nil"/>
            </w:tcBorders>
            <w:vAlign w:val="center"/>
          </w:tcPr>
          <w:p>
            <w:pPr>
              <w:spacing w:line="440" w:lineRule="exact"/>
              <w:jc w:val="center"/>
              <w:rPr>
                <w:rFonts w:ascii="宋体" w:hAnsi="宋体"/>
                <w:color w:val="auto"/>
                <w:sz w:val="24"/>
                <w:szCs w:val="24"/>
                <w:highlight w:val="none"/>
              </w:rPr>
            </w:pPr>
            <w:bookmarkStart w:id="1" w:name="OLE_LINK11"/>
            <w:r>
              <w:rPr>
                <w:rFonts w:hint="eastAsia" w:ascii="宋体" w:hAnsi="宋体"/>
                <w:color w:val="auto"/>
                <w:sz w:val="24"/>
                <w:szCs w:val="24"/>
                <w:highlight w:val="none"/>
              </w:rPr>
              <w:t>详见磋商文件</w:t>
            </w:r>
            <w:bookmarkEnd w:id="1"/>
          </w:p>
        </w:tc>
        <w:tc>
          <w:tcPr>
            <w:tcW w:w="897" w:type="pct"/>
            <w:tcBorders>
              <w:tl2br w:val="nil"/>
              <w:tr2bl w:val="nil"/>
            </w:tcBorders>
            <w:vAlign w:val="center"/>
          </w:tcPr>
          <w:p>
            <w:pPr>
              <w:spacing w:line="440" w:lineRule="exact"/>
              <w:jc w:val="center"/>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60</w:t>
            </w:r>
          </w:p>
        </w:tc>
      </w:tr>
    </w:tbl>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合同履行期限：</w:t>
      </w:r>
      <w:bookmarkStart w:id="2" w:name="OLE_LINK39"/>
      <w:bookmarkEnd w:id="2"/>
      <w:bookmarkStart w:id="3" w:name="OLE_LINK45"/>
      <w:bookmarkEnd w:id="3"/>
      <w:bookmarkStart w:id="4" w:name="OLE_LINK38"/>
      <w:r>
        <w:rPr>
          <w:rFonts w:hint="eastAsia" w:ascii="宋体" w:hAnsi="宋体"/>
          <w:color w:val="auto"/>
          <w:sz w:val="24"/>
          <w:szCs w:val="24"/>
          <w:highlight w:val="none"/>
        </w:rPr>
        <w:t>详见磋商文件。</w:t>
      </w:r>
      <w:bookmarkEnd w:id="4"/>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本项目不接受联合体。</w:t>
      </w:r>
    </w:p>
    <w:p>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本项目监督单位：聊城市财政局政府采购监督管理科</w:t>
      </w:r>
    </w:p>
    <w:p>
      <w:pPr>
        <w:spacing w:line="360" w:lineRule="auto"/>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二、申请人的资格要求：</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1、满足《中华人民共和国政府采购法》第二十二条规定；</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2、落实政府采购政策需满足的资格要求：根据《政府采购促进中小企业发展管理办法》（财库〔2020〕46号），本项目为面向中小微企业预留份额项目，专门面向中小微企业采购。</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3、本项目的特定资格要求：</w:t>
      </w:r>
      <w:bookmarkStart w:id="5" w:name="OLE_LINK12"/>
      <w:bookmarkEnd w:id="5"/>
      <w:r>
        <w:rPr>
          <w:rFonts w:hint="eastAsia" w:ascii="宋体" w:hAnsi="宋体"/>
          <w:color w:val="auto"/>
          <w:sz w:val="24"/>
          <w:szCs w:val="24"/>
          <w:highlight w:val="none"/>
        </w:rPr>
        <w:t>1）供应商须在中华人民共和国境内注册，持有合法的营业执照,并在资金、人员、设备等方面具备施工的能力；2）供应商须具有</w:t>
      </w:r>
      <w:r>
        <w:rPr>
          <w:rFonts w:hint="eastAsia" w:ascii="宋体" w:hAnsi="宋体" w:cs="宋体"/>
          <w:color w:val="auto"/>
          <w:sz w:val="24"/>
          <w:highlight w:val="none"/>
        </w:rPr>
        <w:t>建筑装修装饰工程专业承包二级（含）以上资质</w:t>
      </w:r>
      <w:r>
        <w:rPr>
          <w:rFonts w:hint="eastAsia" w:ascii="宋体" w:hAnsi="宋体"/>
          <w:color w:val="auto"/>
          <w:sz w:val="24"/>
          <w:szCs w:val="24"/>
          <w:highlight w:val="none"/>
        </w:rPr>
        <w:t>，并具有有效的安全生产许可证；3)拟派项目经理需具有建筑工程专业二级(含)以上注册建造师证书及有效的安全生产考核合格证书（B证）。</w:t>
      </w:r>
    </w:p>
    <w:p>
      <w:pPr>
        <w:autoSpaceDE w:val="0"/>
        <w:spacing w:line="360" w:lineRule="auto"/>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三、获取采购文件</w:t>
      </w:r>
    </w:p>
    <w:p>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1．时间：2023年</w:t>
      </w:r>
      <w:r>
        <w:rPr>
          <w:rFonts w:hint="eastAsia" w:ascii="宋体" w:hAnsi="宋体"/>
          <w:color w:val="auto"/>
          <w:sz w:val="24"/>
          <w:szCs w:val="24"/>
          <w:highlight w:val="none"/>
          <w:lang w:val="en-US" w:eastAsia="zh-CN"/>
        </w:rPr>
        <w:t>10</w:t>
      </w:r>
      <w:r>
        <w:rPr>
          <w:rFonts w:hint="eastAsia" w:ascii="宋体" w:hAnsi="宋体"/>
          <w:color w:val="auto"/>
          <w:sz w:val="24"/>
          <w:szCs w:val="24"/>
          <w:highlight w:val="none"/>
        </w:rPr>
        <w:t>月</w:t>
      </w:r>
      <w:r>
        <w:rPr>
          <w:rFonts w:hint="eastAsia" w:ascii="宋体" w:hAnsi="宋体"/>
          <w:color w:val="auto"/>
          <w:sz w:val="24"/>
          <w:szCs w:val="24"/>
          <w:highlight w:val="none"/>
          <w:lang w:val="en-US" w:eastAsia="zh-CN"/>
        </w:rPr>
        <w:t>28</w:t>
      </w:r>
      <w:r>
        <w:rPr>
          <w:rFonts w:hint="eastAsia" w:ascii="宋体" w:hAnsi="宋体"/>
          <w:color w:val="auto"/>
          <w:sz w:val="24"/>
          <w:szCs w:val="24"/>
          <w:highlight w:val="none"/>
        </w:rPr>
        <w:t>日09时00分至2023年</w:t>
      </w:r>
      <w:r>
        <w:rPr>
          <w:rFonts w:hint="eastAsia" w:ascii="宋体" w:hAnsi="宋体"/>
          <w:color w:val="auto"/>
          <w:sz w:val="24"/>
          <w:szCs w:val="24"/>
          <w:highlight w:val="none"/>
          <w:lang w:val="en-US" w:eastAsia="zh-CN"/>
        </w:rPr>
        <w:t>11</w:t>
      </w:r>
      <w:r>
        <w:rPr>
          <w:rFonts w:hint="eastAsia" w:ascii="宋体" w:hAnsi="宋体"/>
          <w:color w:val="auto"/>
          <w:sz w:val="24"/>
          <w:szCs w:val="24"/>
          <w:highlight w:val="none"/>
        </w:rPr>
        <w:t>月</w:t>
      </w:r>
      <w:r>
        <w:rPr>
          <w:rFonts w:hint="eastAsia" w:ascii="宋体" w:hAnsi="宋体"/>
          <w:color w:val="auto"/>
          <w:sz w:val="24"/>
          <w:szCs w:val="24"/>
          <w:highlight w:val="none"/>
          <w:lang w:val="en-US" w:eastAsia="zh-CN"/>
        </w:rPr>
        <w:t>03</w:t>
      </w:r>
      <w:r>
        <w:rPr>
          <w:rFonts w:hint="eastAsia" w:ascii="宋体" w:hAnsi="宋体"/>
          <w:color w:val="auto"/>
          <w:sz w:val="24"/>
          <w:szCs w:val="24"/>
          <w:highlight w:val="none"/>
        </w:rPr>
        <w:t>日17时00分（北京时间）</w:t>
      </w:r>
    </w:p>
    <w:p>
      <w:pPr>
        <w:autoSpaceDE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2．地点：聊城市公共资源交易中心网（http://ggzyjy.liaocheng.gov.cn）</w:t>
      </w:r>
    </w:p>
    <w:p>
      <w:pPr>
        <w:autoSpaceDE w:val="0"/>
        <w:spacing w:line="360" w:lineRule="auto"/>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3.方式：各供应商在规定时间内登录新版聊城市公共资源电子交易系统（http://ggzyjy.liaocheng.gov.cn:8601/tpbidder）免费下载采购文件（文件格式为.lczf），逾期未下载采购文件视为放弃投标。</w:t>
      </w:r>
    </w:p>
    <w:p>
      <w:pPr>
        <w:autoSpaceDE w:val="0"/>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注：（1）根据山东省政府采购有关规定，各拟参与本项目供应商在交易中心系统获取采购文件后，务必于响应文件提交截止时间前在“中国山东政府采购网（http://www.ccgp-shandong.gov.cn）”完成注册（已注册的无需重复注册），由于供应商原因造成其在响应文件提交截止时间前未完成注册的后果自负。</w:t>
      </w:r>
    </w:p>
    <w:p>
      <w:pPr>
        <w:autoSpaceDE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（2）供应商在新版聊城市公共资源电子交易系统诚信入库类型：交易乙方。</w:t>
      </w:r>
    </w:p>
    <w:p>
      <w:pPr>
        <w:autoSpaceDE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4.售价：0元</w:t>
      </w:r>
    </w:p>
    <w:p>
      <w:pPr>
        <w:autoSpaceDE w:val="0"/>
        <w:spacing w:line="360" w:lineRule="auto"/>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四、响应文件提交</w:t>
      </w:r>
    </w:p>
    <w:p>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截止时间：2023年</w:t>
      </w:r>
      <w:r>
        <w:rPr>
          <w:rFonts w:hint="eastAsia" w:ascii="宋体" w:hAnsi="宋体"/>
          <w:color w:val="auto"/>
          <w:sz w:val="24"/>
          <w:szCs w:val="24"/>
          <w:highlight w:val="none"/>
          <w:lang w:val="en-US" w:eastAsia="zh-CN"/>
        </w:rPr>
        <w:t>11</w:t>
      </w:r>
      <w:r>
        <w:rPr>
          <w:rFonts w:hint="eastAsia" w:ascii="宋体" w:hAnsi="宋体"/>
          <w:color w:val="auto"/>
          <w:sz w:val="24"/>
          <w:szCs w:val="24"/>
          <w:highlight w:val="none"/>
        </w:rPr>
        <w:t>月</w:t>
      </w:r>
      <w:r>
        <w:rPr>
          <w:rFonts w:hint="eastAsia" w:ascii="宋体" w:hAnsi="宋体"/>
          <w:color w:val="auto"/>
          <w:sz w:val="24"/>
          <w:szCs w:val="24"/>
          <w:highlight w:val="none"/>
          <w:lang w:val="en-US" w:eastAsia="zh-CN"/>
        </w:rPr>
        <w:t>07</w:t>
      </w:r>
      <w:r>
        <w:rPr>
          <w:rFonts w:hint="eastAsia" w:ascii="宋体" w:hAnsi="宋体"/>
          <w:color w:val="auto"/>
          <w:sz w:val="24"/>
          <w:szCs w:val="24"/>
          <w:highlight w:val="none"/>
        </w:rPr>
        <w:t>日</w:t>
      </w:r>
      <w:r>
        <w:rPr>
          <w:rFonts w:hint="eastAsia" w:ascii="宋体" w:hAnsi="宋体"/>
          <w:color w:val="auto"/>
          <w:sz w:val="24"/>
          <w:szCs w:val="24"/>
          <w:highlight w:val="none"/>
          <w:lang w:val="en-US" w:eastAsia="zh-CN"/>
        </w:rPr>
        <w:t>14</w:t>
      </w:r>
      <w:r>
        <w:rPr>
          <w:rFonts w:hint="eastAsia" w:ascii="宋体" w:hAnsi="宋体"/>
          <w:color w:val="auto"/>
          <w:sz w:val="24"/>
          <w:szCs w:val="24"/>
          <w:highlight w:val="none"/>
        </w:rPr>
        <w:t>点00分（北京时间）</w:t>
      </w:r>
    </w:p>
    <w:p>
      <w:pPr>
        <w:wordWrap w:val="0"/>
        <w:autoSpaceDE w:val="0"/>
        <w:spacing w:line="360" w:lineRule="auto"/>
        <w:ind w:firstLine="480" w:firstLineChars="200"/>
        <w:rPr>
          <w:rFonts w:ascii="宋体" w:hAnsi="宋体"/>
          <w:bCs/>
          <w:color w:val="auto"/>
          <w:sz w:val="24"/>
          <w:szCs w:val="24"/>
          <w:highlight w:val="none"/>
        </w:rPr>
      </w:pPr>
      <w:r>
        <w:rPr>
          <w:rFonts w:hint="eastAsia" w:ascii="宋体" w:hAnsi="宋体"/>
          <w:color w:val="auto"/>
          <w:sz w:val="24"/>
          <w:szCs w:val="24"/>
          <w:highlight w:val="none"/>
        </w:rPr>
        <w:t>地点：供应商在响应文件提交截止时间前将电子响应文件上传到新版聊城市公共资源电子交易系统（http://ggzyjy.liaocheng.gov.cn:8601/tpbidder）。</w:t>
      </w:r>
    </w:p>
    <w:p>
      <w:pPr>
        <w:autoSpaceDE w:val="0"/>
        <w:spacing w:line="360" w:lineRule="auto"/>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五、开启</w:t>
      </w:r>
    </w:p>
    <w:p>
      <w:pPr>
        <w:autoSpaceDE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时间：2023年</w:t>
      </w:r>
      <w:r>
        <w:rPr>
          <w:rFonts w:hint="eastAsia" w:ascii="宋体" w:hAnsi="宋体"/>
          <w:color w:val="auto"/>
          <w:sz w:val="24"/>
          <w:szCs w:val="24"/>
          <w:highlight w:val="none"/>
          <w:lang w:val="en-US" w:eastAsia="zh-CN"/>
        </w:rPr>
        <w:t>11</w:t>
      </w:r>
      <w:r>
        <w:rPr>
          <w:rFonts w:hint="eastAsia" w:ascii="宋体" w:hAnsi="宋体"/>
          <w:color w:val="auto"/>
          <w:sz w:val="24"/>
          <w:szCs w:val="24"/>
          <w:highlight w:val="none"/>
        </w:rPr>
        <w:t>月</w:t>
      </w:r>
      <w:r>
        <w:rPr>
          <w:rFonts w:hint="eastAsia" w:ascii="宋体" w:hAnsi="宋体"/>
          <w:color w:val="auto"/>
          <w:sz w:val="24"/>
          <w:szCs w:val="24"/>
          <w:highlight w:val="none"/>
          <w:lang w:val="en-US" w:eastAsia="zh-CN"/>
        </w:rPr>
        <w:t>07</w:t>
      </w:r>
      <w:r>
        <w:rPr>
          <w:rFonts w:hint="eastAsia" w:ascii="宋体" w:hAnsi="宋体"/>
          <w:color w:val="auto"/>
          <w:sz w:val="24"/>
          <w:szCs w:val="24"/>
          <w:highlight w:val="none"/>
        </w:rPr>
        <w:t>日</w:t>
      </w:r>
      <w:r>
        <w:rPr>
          <w:rFonts w:hint="eastAsia" w:ascii="宋体" w:hAnsi="宋体"/>
          <w:color w:val="auto"/>
          <w:sz w:val="24"/>
          <w:szCs w:val="24"/>
          <w:highlight w:val="none"/>
          <w:lang w:val="en-US" w:eastAsia="zh-CN"/>
        </w:rPr>
        <w:t>14</w:t>
      </w:r>
      <w:r>
        <w:rPr>
          <w:rFonts w:hint="eastAsia" w:ascii="宋体" w:hAnsi="宋体"/>
          <w:color w:val="auto"/>
          <w:sz w:val="24"/>
          <w:szCs w:val="24"/>
          <w:highlight w:val="none"/>
        </w:rPr>
        <w:t>点00分（北京时间）</w:t>
      </w:r>
    </w:p>
    <w:p>
      <w:pPr>
        <w:wordWrap w:val="0"/>
        <w:autoSpaceDE w:val="0"/>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地点：本项目采取不见面方式开标，开标当日供应商不必抵达现场，仅需登录聊城市公共资源交易中心不见面开标大厅参与会议。各供应商应严格按照采购文件的具体要求在开标前登录网上不见面开标大厅完成相应工作，并安排专人实时在线处理答疑、澄清、报价等事宜。具体详见《聊城不见面开标大厅--操作手册（投标人）》。</w:t>
      </w:r>
    </w:p>
    <w:p>
      <w:pPr>
        <w:wordWrap w:val="0"/>
        <w:autoSpaceDE w:val="0"/>
        <w:spacing w:line="360" w:lineRule="auto"/>
        <w:ind w:firstLine="480" w:firstLineChars="200"/>
        <w:rPr>
          <w:rFonts w:ascii="宋体" w:hAnsi="宋体"/>
          <w:bCs/>
          <w:color w:val="auto"/>
          <w:sz w:val="24"/>
          <w:szCs w:val="24"/>
          <w:highlight w:val="none"/>
        </w:rPr>
      </w:pPr>
      <w:r>
        <w:rPr>
          <w:rFonts w:hint="eastAsia" w:ascii="宋体" w:hAnsi="宋体"/>
          <w:color w:val="auto"/>
          <w:sz w:val="24"/>
          <w:szCs w:val="24"/>
          <w:highlight w:val="none"/>
        </w:rPr>
        <w:t>不见面开标大厅登录途径：1.聊城市公共资源交易中心不见面开标大厅（聊城市公共资源交易中心网-平台入口-不见面开标大厅登录入口-选择登录地区（聊城新平台（java））；2.不见面开标大厅网址：http://ggzyjy.liaocheng.gov.cn:8093/BidOpening/bidopeninghallaction/hall/login</w:t>
      </w:r>
    </w:p>
    <w:p>
      <w:pPr>
        <w:autoSpaceDE w:val="0"/>
        <w:spacing w:line="360" w:lineRule="auto"/>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六、公告期限</w:t>
      </w:r>
    </w:p>
    <w:p>
      <w:pPr>
        <w:autoSpaceDE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自本公告发布之日起3个工作日。</w:t>
      </w:r>
    </w:p>
    <w:p>
      <w:pPr>
        <w:wordWrap w:val="0"/>
        <w:autoSpaceDE w:val="0"/>
        <w:adjustRightInd w:val="0"/>
        <w:snapToGrid w:val="0"/>
        <w:spacing w:line="360" w:lineRule="auto"/>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七、其他补充事宜</w:t>
      </w:r>
    </w:p>
    <w:p>
      <w:pPr>
        <w:wordWrap w:val="0"/>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1.发布公告的媒介：中国山东政府采购网、聊城市公共资源交易中心网</w:t>
      </w:r>
    </w:p>
    <w:p>
      <w:pPr>
        <w:wordWrap w:val="0"/>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2.电子交易系统特别注意事项</w:t>
      </w:r>
    </w:p>
    <w:p>
      <w:pPr>
        <w:wordWrap w:val="0"/>
        <w:autoSpaceDE w:val="0"/>
        <w:adjustRightInd w:val="0"/>
        <w:snapToGrid w:val="0"/>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（1）供应商首次在新版聊城市公共资源交易电子交易系统参与项目的，获取采购文件前须办理企业诚信入库，详见：</w:t>
      </w:r>
    </w:p>
    <w:p>
      <w:pPr>
        <w:wordWrap w:val="0"/>
        <w:autoSpaceDE w:val="0"/>
        <w:adjustRightInd w:val="0"/>
        <w:snapToGrid w:val="0"/>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①《关于聊城市公共资源交易平台新版交易系统网上注册的公告 》（http://ggzyjy.liaocheng.gov.cn/lcggzy/tzgg/20230905/c12a66a9-c540-4fb4-be90-23df0993986c.html）；</w:t>
      </w:r>
    </w:p>
    <w:p>
      <w:pPr>
        <w:wordWrap w:val="0"/>
        <w:autoSpaceDE w:val="0"/>
        <w:adjustRightInd w:val="0"/>
        <w:snapToGrid w:val="0"/>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②《聊城市公共资源交易中心新版交易系统成员注册所需材料》（http://ggzyjy.liaocheng.gov.cn/lcggzy/tzgg/20230905/c45b9d79-25ae-4964-b9df-415063d638c2.html）；</w:t>
      </w:r>
    </w:p>
    <w:p>
      <w:pPr>
        <w:wordWrap w:val="0"/>
        <w:autoSpaceDE w:val="0"/>
        <w:adjustRightInd w:val="0"/>
        <w:snapToGrid w:val="0"/>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③《新交易系统操作手册及操作视频》（http://ggzyjy.liaocheng.gov.cn/lcggzy/xzzx/012005/20230808/9f4ff67d-5515-411c-b423-c9534421b34b.html）。</w:t>
      </w:r>
    </w:p>
    <w:p>
      <w:pPr>
        <w:wordWrap w:val="0"/>
        <w:autoSpaceDE w:val="0"/>
        <w:adjustRightInd w:val="0"/>
        <w:snapToGrid w:val="0"/>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因未及时办理入库导致无法获取文件的，后果自负。另各供应商务必安排好专人对诚信库信息进行更新、维护，并对因诚信库不合法、不真实、不清晰、不完整、无效、错误或编辑待验证状态等造成的一切后果负责。</w:t>
      </w:r>
    </w:p>
    <w:p>
      <w:pPr>
        <w:wordWrap w:val="0"/>
        <w:autoSpaceDE w:val="0"/>
        <w:adjustRightInd w:val="0"/>
        <w:snapToGrid w:val="0"/>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本项目实行电子评标，供应商需办理CA证书，办理要求详见聊城市公共资源交易中心网右侧快捷入口“CA办理”。因未及时办理CA证书而导致无法提交投标（响应）文件的，责任自负。CA办理咨询电话：0635-8902280 ；移动CA锁（标证通）办理咨询电话：400-823-8788。</w:t>
      </w:r>
    </w:p>
    <w:p>
      <w:pPr>
        <w:wordWrap w:val="0"/>
        <w:autoSpaceDE w:val="0"/>
        <w:adjustRightInd w:val="0"/>
        <w:snapToGrid w:val="0"/>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3）各供应商应随时关注项目信息并及时登录新版聊城市公共资源电子交易系统下载采购文件和各类答疑澄清，否则所造成的一切后果由供应商承担，最终文件以答疑澄清后的为准。电子评标的，制作投标（响应）文件需将答疑澄清文件导入投标（响应）文件制作工具。</w:t>
      </w:r>
    </w:p>
    <w:p>
      <w:pPr>
        <w:wordWrap w:val="0"/>
        <w:autoSpaceDE w:val="0"/>
        <w:adjustRightInd w:val="0"/>
        <w:snapToGrid w:val="0"/>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（4）电子投标（响应）文件制作工具请到聊城市公共资源交易中心网“下载中心-政府采购-政府采购电子标投标文件制作软件以及视频教程”下载。</w:t>
      </w:r>
    </w:p>
    <w:p>
      <w:pPr>
        <w:wordWrap w:val="0"/>
        <w:autoSpaceDE w:val="0"/>
        <w:adjustRightInd w:val="0"/>
        <w:snapToGrid w:val="0"/>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5）供应商如遇交易系统软件操作技术问题，请咨询国泰新点软件股份有限公司或聊城市公共资源交易中心交易平台维护室。国泰新点软件股份有限公司：400-998-0000；聊城市公共资源交易中心交易平台维护室：0635-8902702，联系人：黄工、张工。</w:t>
      </w:r>
    </w:p>
    <w:p>
      <w:pPr>
        <w:wordWrap w:val="0"/>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采购过程中如遇到网络故障、服务器受损、系统服务异常或停电事故等突发情况，导致项目无法正常进行时，按照中心开评标应急预案处理，详见：①聊城市公共资源交易中心采购类项目开评标应急预案（暂行）(聊城市公共资源交易中心网（http://ggzyjy.liaocheng.gov.cn）—办事指南—政府采购）；②信息技术科公共资源电子交易系统开评标应急预案(聊城市公共资源交易中心网（http://ggzyjy.liaocheng.gov.cn）—办事指南—信息技术科）。</w:t>
      </w:r>
    </w:p>
    <w:p>
      <w:pPr>
        <w:wordWrap w:val="0"/>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3.重要说明</w:t>
      </w:r>
    </w:p>
    <w:p>
      <w:pPr>
        <w:wordWrap w:val="0"/>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（1）公告附件链接的采购文件仅供获取前查看，供应商必须登录新版聊城市公共资源电子交易系统获取并下载正式的采购文件。网上获取文件的成功不代表资格审查的最终通过或合格，供应商最终资格的确认以</w:t>
      </w:r>
      <w:r>
        <w:rPr>
          <w:rFonts w:hint="eastAsia" w:ascii="宋体" w:hAnsi="宋体"/>
          <w:color w:val="auto"/>
          <w:sz w:val="24"/>
          <w:szCs w:val="24"/>
          <w:highlight w:val="none"/>
          <w:lang w:eastAsia="zh-CN"/>
        </w:rPr>
        <w:t>磋商小组</w:t>
      </w:r>
      <w:r>
        <w:rPr>
          <w:rFonts w:hint="eastAsia" w:ascii="宋体" w:hAnsi="宋体"/>
          <w:color w:val="auto"/>
          <w:sz w:val="24"/>
          <w:szCs w:val="24"/>
          <w:highlight w:val="none"/>
        </w:rPr>
        <w:t>组织的审核结果为准。</w:t>
      </w:r>
    </w:p>
    <w:p>
      <w:pPr>
        <w:wordWrap w:val="0"/>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（2）本项目采用电子标评审，其中技术标采用明标评审。</w:t>
      </w:r>
    </w:p>
    <w:p>
      <w:pPr>
        <w:wordWrap w:val="0"/>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4.其他补充内容</w:t>
      </w:r>
    </w:p>
    <w:p>
      <w:pPr>
        <w:wordWrap w:val="0"/>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（1）意向公开：</w:t>
      </w:r>
    </w:p>
    <w:p>
      <w:pPr>
        <w:wordWrap w:val="0"/>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u w:val="none"/>
        </w:rPr>
        <w:t>http://www.ccgp-shandong.gov.cn/sdgp2017/site/listcontnew.jsp?colcode=2504&amp;id=612996</w:t>
      </w:r>
    </w:p>
    <w:p>
      <w:pPr>
        <w:wordWrap w:val="0"/>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（2）各供应商在开标结束后保持电话畅通，及时关注短信提醒，并在规定时间内网上提交最后报价。供应商放弃报价的，视为放弃参与后续评标活动。</w:t>
      </w:r>
    </w:p>
    <w:p>
      <w:pPr>
        <w:wordWrap w:val="0"/>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（3）本项目质疑单位：山东省经纬招标造价咨询有限公司</w:t>
      </w:r>
    </w:p>
    <w:p>
      <w:pPr>
        <w:wordWrap w:val="0"/>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质疑单位地址：聊城市园东小区15号楼5楼</w:t>
      </w:r>
    </w:p>
    <w:p>
      <w:pPr>
        <w:wordWrap w:val="0"/>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联系电话：杜丹丹  0635-2129333</w:t>
      </w:r>
    </w:p>
    <w:p>
      <w:pPr>
        <w:wordWrap w:val="0"/>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注：供应商应当在法定质疑期内一次性提出针对同一采购程序环节的质疑。</w:t>
      </w:r>
    </w:p>
    <w:p>
      <w:pPr>
        <w:wordWrap w:val="0"/>
        <w:autoSpaceDE w:val="0"/>
        <w:adjustRightInd w:val="0"/>
        <w:snapToGrid w:val="0"/>
        <w:spacing w:line="360" w:lineRule="auto"/>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八、对本次招标提出询问，请按以下方式联系。</w:t>
      </w:r>
    </w:p>
    <w:p>
      <w:pPr>
        <w:wordWrap w:val="0"/>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1、采购人信息</w:t>
      </w:r>
    </w:p>
    <w:p>
      <w:pPr>
        <w:wordWrap w:val="0"/>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名称：</w:t>
      </w:r>
      <w:r>
        <w:rPr>
          <w:rFonts w:hint="eastAsia" w:ascii="宋体" w:hAnsi="宋体"/>
          <w:color w:val="auto"/>
          <w:sz w:val="24"/>
          <w:szCs w:val="24"/>
          <w:highlight w:val="none"/>
          <w:lang w:eastAsia="zh-CN"/>
        </w:rPr>
        <w:t>山东省聊城第一中学</w:t>
      </w:r>
      <w:r>
        <w:rPr>
          <w:rFonts w:hint="eastAsia" w:ascii="宋体" w:hAnsi="宋体"/>
          <w:color w:val="auto"/>
          <w:sz w:val="24"/>
          <w:szCs w:val="24"/>
          <w:highlight w:val="none"/>
        </w:rPr>
        <w:t xml:space="preserve"> </w:t>
      </w:r>
    </w:p>
    <w:p>
      <w:pPr>
        <w:wordWrap w:val="0"/>
        <w:autoSpaceDE w:val="0"/>
        <w:adjustRightInd w:val="0"/>
        <w:snapToGrid w:val="0"/>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地址：</w:t>
      </w:r>
      <w:r>
        <w:rPr>
          <w:rFonts w:hint="eastAsia" w:ascii="宋体" w:hAnsi="宋体"/>
          <w:color w:val="auto"/>
          <w:sz w:val="24"/>
          <w:szCs w:val="24"/>
          <w:highlight w:val="none"/>
          <w:lang w:eastAsia="zh-CN"/>
        </w:rPr>
        <w:t>聊城市古楼办事处东关居委双街114号</w:t>
      </w:r>
    </w:p>
    <w:p>
      <w:pPr>
        <w:wordWrap w:val="0"/>
        <w:autoSpaceDE w:val="0"/>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olor w:val="auto"/>
          <w:sz w:val="24"/>
          <w:szCs w:val="24"/>
          <w:highlight w:val="none"/>
        </w:rPr>
        <w:t>联系方式：</w:t>
      </w:r>
      <w:r>
        <w:rPr>
          <w:rFonts w:hint="eastAsia" w:ascii="宋体" w:hAnsi="宋体" w:cs="宋体"/>
          <w:color w:val="auto"/>
          <w:sz w:val="24"/>
          <w:szCs w:val="24"/>
          <w:highlight w:val="none"/>
        </w:rPr>
        <w:t>0635-5108960</w:t>
      </w:r>
    </w:p>
    <w:p>
      <w:pPr>
        <w:wordWrap w:val="0"/>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2、采购代理机构</w:t>
      </w:r>
    </w:p>
    <w:p>
      <w:pPr>
        <w:wordWrap w:val="0"/>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名称：山东省经纬招标造价咨询有限公司</w:t>
      </w:r>
    </w:p>
    <w:p>
      <w:pPr>
        <w:wordWrap w:val="0"/>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地址：聊城市园东小区15号楼5楼</w:t>
      </w:r>
    </w:p>
    <w:p>
      <w:pPr>
        <w:wordWrap w:val="0"/>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联系方式：0635-2129333</w:t>
      </w:r>
    </w:p>
    <w:p>
      <w:pPr>
        <w:wordWrap w:val="0"/>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3、项目联系方式</w:t>
      </w:r>
    </w:p>
    <w:p>
      <w:pPr>
        <w:wordWrap w:val="0"/>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项目联系人：杜丹丹</w:t>
      </w:r>
    </w:p>
    <w:p>
      <w:pPr>
        <w:wordWrap w:val="0"/>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联系方式：0635-2129333</w:t>
      </w:r>
    </w:p>
    <w:p>
      <w:pPr>
        <w:wordWrap w:val="0"/>
        <w:autoSpaceDE w:val="0"/>
        <w:adjustRightInd w:val="0"/>
        <w:snapToGrid w:val="0"/>
        <w:spacing w:line="360" w:lineRule="auto"/>
        <w:ind w:firstLine="480" w:firstLineChars="200"/>
        <w:jc w:val="right"/>
        <w:rPr>
          <w:rFonts w:ascii="宋体" w:hAnsi="宋体"/>
          <w:color w:val="auto"/>
          <w:sz w:val="24"/>
          <w:szCs w:val="24"/>
          <w:highlight w:val="none"/>
        </w:rPr>
      </w:pPr>
      <w:r>
        <w:rPr>
          <w:rFonts w:hint="eastAsia" w:ascii="宋体" w:hAnsi="宋体"/>
          <w:color w:val="auto"/>
          <w:sz w:val="24"/>
          <w:szCs w:val="24"/>
          <w:highlight w:val="none"/>
        </w:rPr>
        <w:t>发布人：山东省经纬招标造价咨询有限公司</w:t>
      </w:r>
    </w:p>
    <w:p>
      <w:pPr>
        <w:wordWrap w:val="0"/>
        <w:autoSpaceDE w:val="0"/>
        <w:adjustRightInd w:val="0"/>
        <w:snapToGrid w:val="0"/>
        <w:spacing w:line="360" w:lineRule="auto"/>
        <w:ind w:firstLine="480" w:firstLineChars="200"/>
        <w:jc w:val="right"/>
        <w:rPr>
          <w:rFonts w:ascii="宋体" w:hAnsi="宋体"/>
          <w:color w:val="auto"/>
          <w:sz w:val="24"/>
          <w:szCs w:val="24"/>
          <w:highlight w:val="none"/>
        </w:rPr>
      </w:pPr>
      <w:r>
        <w:rPr>
          <w:rFonts w:hint="eastAsia" w:ascii="宋体" w:hAnsi="宋体"/>
          <w:color w:val="auto"/>
          <w:sz w:val="24"/>
          <w:szCs w:val="24"/>
          <w:highlight w:val="none"/>
        </w:rPr>
        <w:t xml:space="preserve">   发布时间：2023年</w:t>
      </w:r>
      <w:r>
        <w:rPr>
          <w:rFonts w:hint="eastAsia" w:ascii="宋体" w:hAnsi="宋体"/>
          <w:color w:val="auto"/>
          <w:sz w:val="24"/>
          <w:szCs w:val="24"/>
          <w:highlight w:val="none"/>
          <w:lang w:val="en-US" w:eastAsia="zh-CN"/>
        </w:rPr>
        <w:t>10</w:t>
      </w:r>
      <w:r>
        <w:rPr>
          <w:rFonts w:hint="eastAsia" w:ascii="宋体" w:hAnsi="宋体"/>
          <w:color w:val="auto"/>
          <w:sz w:val="24"/>
          <w:szCs w:val="24"/>
          <w:highlight w:val="none"/>
        </w:rPr>
        <w:t>月</w:t>
      </w:r>
      <w:r>
        <w:rPr>
          <w:rFonts w:hint="eastAsia" w:ascii="宋体" w:hAnsi="宋体"/>
          <w:color w:val="auto"/>
          <w:sz w:val="24"/>
          <w:szCs w:val="24"/>
          <w:highlight w:val="none"/>
          <w:lang w:val="en-US" w:eastAsia="zh-CN"/>
        </w:rPr>
        <w:t>27</w:t>
      </w:r>
      <w:r>
        <w:rPr>
          <w:rFonts w:hint="eastAsia" w:ascii="宋体" w:hAnsi="宋体"/>
          <w:color w:val="auto"/>
          <w:sz w:val="24"/>
          <w:szCs w:val="24"/>
          <w:highlight w:val="none"/>
        </w:rPr>
        <w:t>日</w:t>
      </w:r>
    </w:p>
    <w:p>
      <w:bookmarkStart w:id="6" w:name="_GoBack"/>
      <w:bookmarkEnd w:id="6"/>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MzOWM2NmE1MmZkZGE2NjA0Zjg0NmFkYTY3MTQxOWMifQ=="/>
  </w:docVars>
  <w:rsids>
    <w:rsidRoot w:val="4F3C563C"/>
    <w:rsid w:val="4C485293"/>
    <w:rsid w:val="4F3C563C"/>
    <w:rsid w:val="6F244EA3"/>
    <w:rsid w:val="70047E66"/>
    <w:rsid w:val="7B2663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14:ligatures w14:val="none"/>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2023-12-21T01:26:00Z</dcterms:created>
  <dc:creator>柒颜</dc:creator>
  <cp:lastModifiedBy>柒颜</cp:lastModifiedBy>
  <dcterms:modified xsi:type="dcterms:W3CDTF">2023-12-21T01:26:31Z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726D4C84FEC94BE783991CEFE0F75461_11</vt:lpwstr>
  </property>
</Properties>
</file>